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94"/>
        <w:gridCol w:w="2302"/>
        <w:gridCol w:w="2835"/>
        <w:gridCol w:w="2268"/>
        <w:gridCol w:w="1778"/>
      </w:tblGrid>
      <w:tr w:rsidR="00187A68" w:rsidRPr="009B4E49" w:rsidTr="008A1362">
        <w:trPr>
          <w:trHeight w:val="1272"/>
        </w:trPr>
        <w:tc>
          <w:tcPr>
            <w:tcW w:w="15245" w:type="dxa"/>
            <w:gridSpan w:val="6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1F0370" w:rsidRPr="008A1362" w:rsidRDefault="00C260F3" w:rsidP="001F0370">
            <w:pPr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br/>
            </w:r>
            <w:r w:rsidR="001F0370" w:rsidRPr="008A1362">
              <w:rPr>
                <w:rFonts w:ascii="Arial Narrow" w:hAnsi="Arial Narrow" w:cs="Times New Roman"/>
                <w:b/>
                <w:color w:val="808080" w:themeColor="background1" w:themeShade="80"/>
                <w:sz w:val="28"/>
                <w:szCs w:val="28"/>
              </w:rPr>
              <w:t>УФНС России по Забайкальскому краю</w:t>
            </w:r>
            <w:r w:rsidR="001F0370" w:rsidRPr="008A1362">
              <w:rPr>
                <w:rFonts w:ascii="Arial Narrow" w:hAnsi="Arial Narrow" w:cs="Times New Roman"/>
                <w:b/>
                <w:noProof/>
                <w:color w:val="808080" w:themeColor="background1" w:themeShade="80"/>
                <w:sz w:val="24"/>
                <w:szCs w:val="24"/>
                <w:lang w:eastAsia="ru-RU"/>
              </w:rPr>
              <w:t xml:space="preserve"> </w:t>
            </w:r>
          </w:p>
          <w:p w:rsidR="008A1362" w:rsidRDefault="00187A68" w:rsidP="008A1362">
            <w:pPr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3D0091" wp14:editId="484B80F5">
                  <wp:simplePos x="424815" y="1911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9630" cy="882015"/>
                  <wp:effectExtent l="0" t="0" r="7620" b="0"/>
                  <wp:wrapSquare wrapText="bothSides"/>
                  <wp:docPr id="1" name="Рисунок 1" descr="C:\Users\WINDOW~1\AppData\Local\Temp\Rar$DRa0.568\FNS_logo_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~1\AppData\Local\Temp\Rar$DRa0.568\FNS_logo_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6" t="28726" r="21721" b="29491"/>
                          <a:stretch/>
                        </pic:blipFill>
                        <pic:spPr bwMode="auto">
                          <a:xfrm>
                            <a:off x="0" y="0"/>
                            <a:ext cx="849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Меры поддержки бизнеса, реализуемые </w:t>
            </w:r>
            <w:r w:rsidR="001F0370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в рамках налогового администрирования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, в период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ограничений и снижения деловой активности в условиях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распространения </w:t>
            </w:r>
            <w:proofErr w:type="spellStart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 инфекции</w:t>
            </w:r>
            <w:r w:rsidR="008A1362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87A68" w:rsidRPr="009B4E49" w:rsidRDefault="008A1362" w:rsidP="008A1362">
            <w:pPr>
              <w:jc w:val="right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 w:rsidRPr="008A1362"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  <w:shd w:val="clear" w:color="auto" w:fill="FFFFFF"/>
              </w:rPr>
              <w:t>на 15.04.2020</w:t>
            </w:r>
          </w:p>
        </w:tc>
      </w:tr>
      <w:tr w:rsidR="00DF47F1" w:rsidRPr="009B4E49" w:rsidTr="00AB5682">
        <w:tc>
          <w:tcPr>
            <w:tcW w:w="2268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Меры поддержки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Категории налогоплательщиков</w:t>
            </w:r>
          </w:p>
        </w:tc>
      </w:tr>
      <w:tr w:rsidR="00A52A81" w:rsidRPr="009B4E49" w:rsidTr="00AB5682">
        <w:tc>
          <w:tcPr>
            <w:tcW w:w="226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2A81" w:rsidRPr="005127BB" w:rsidRDefault="00A52A8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2A81" w:rsidRPr="005127BB" w:rsidRDefault="00A52A81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ЮЛ и ИП из перечня пострадавших ОКВЭД</w:t>
            </w:r>
          </w:p>
        </w:tc>
        <w:tc>
          <w:tcPr>
            <w:tcW w:w="404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52A81" w:rsidRPr="005127BB" w:rsidRDefault="00114D96" w:rsidP="00114D9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Остальные </w:t>
            </w:r>
            <w:r w:rsidR="00A52A81"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ЮЛ и ИП </w:t>
            </w:r>
          </w:p>
        </w:tc>
      </w:tr>
      <w:tr w:rsidR="00DF47F1" w:rsidRPr="009B4E49" w:rsidTr="00AB5682">
        <w:tc>
          <w:tcPr>
            <w:tcW w:w="2268" w:type="dxa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в реестр СМП </w:t>
            </w:r>
          </w:p>
          <w:p w:rsidR="00DF47F1" w:rsidRPr="005127BB" w:rsidRDefault="00DF47F1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(на 01.03.2020) </w:t>
            </w:r>
          </w:p>
        </w:tc>
        <w:tc>
          <w:tcPr>
            <w:tcW w:w="23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DF47F1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входящие в реестр СМП на 01.03.2020 (</w:t>
            </w:r>
            <w:proofErr w:type="spellStart"/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микропредприятия</w:t>
            </w:r>
            <w:proofErr w:type="spellEnd"/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F47F1" w:rsidRPr="005127BB" w:rsidRDefault="00BF2A44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не входящие в реестр МСП 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14D96" w:rsidRPr="005127BB" w:rsidRDefault="00DF47F1" w:rsidP="0059171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</w:t>
            </w:r>
          </w:p>
          <w:p w:rsidR="00114D96" w:rsidRPr="005127BB" w:rsidRDefault="00DF47F1" w:rsidP="0059171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DF47F1" w:rsidRPr="005127BB" w:rsidRDefault="00DF47F1" w:rsidP="0059171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114D96" w:rsidRPr="005127BB" w:rsidRDefault="00114D96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не входящие </w:t>
            </w:r>
          </w:p>
          <w:p w:rsidR="00114D96" w:rsidRPr="005127BB" w:rsidRDefault="00114D96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DF47F1" w:rsidRPr="005127BB" w:rsidRDefault="00114D96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</w:tr>
      <w:tr w:rsidR="00DF47F1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37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293DAC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6 месяцев: 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налога на прибыль, единого сельскохозяйственного налога и налога по УСН за 2019 год;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налогов (за исключением НДС, НПД и налогов, уплачиваемых налоговыми агентами) и авансовых платежей по налогам за март и 1 квартал 2020 года;</w:t>
            </w:r>
          </w:p>
          <w:p w:rsidR="00DF47F1" w:rsidRPr="005127BB" w:rsidRDefault="00DF47F1" w:rsidP="00293DAC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4 месяца: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налогов (за исключением НДС, НПД и налогов, уплачиваемых налоговыми агентами) и авансовых платежей за апрель – июнь, 2 квартал и 1 полугодие 2020 года;</w:t>
            </w:r>
          </w:p>
          <w:p w:rsidR="00DF47F1" w:rsidRPr="005127BB" w:rsidRDefault="00DF47F1" w:rsidP="00293DAC">
            <w:pPr>
              <w:numPr>
                <w:ilvl w:val="1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налога по патенту, срок уплаты которого приходится на 2 квартал 2020 года;</w:t>
            </w:r>
          </w:p>
          <w:p w:rsidR="00DF47F1" w:rsidRPr="005127BB" w:rsidRDefault="00DF47F1" w:rsidP="00293DAC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3 месяца:</w:t>
            </w:r>
          </w:p>
          <w:p w:rsidR="00DF47F1" w:rsidRPr="005127BB" w:rsidRDefault="00DF47F1" w:rsidP="000805E3">
            <w:pPr>
              <w:numPr>
                <w:ilvl w:val="1"/>
                <w:numId w:val="1"/>
              </w:numPr>
              <w:shd w:val="clear" w:color="auto" w:fill="FFFFFF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НДФЛ с доходов индивидуальных предпринимателей за 2019 год.</w:t>
            </w:r>
          </w:p>
          <w:p w:rsidR="00DF47F1" w:rsidRPr="005127BB" w:rsidRDefault="00DF47F1" w:rsidP="000805E3">
            <w:pPr>
              <w:shd w:val="clear" w:color="auto" w:fill="FFFFFF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______</w:t>
            </w:r>
          </w:p>
          <w:p w:rsidR="00DF47F1" w:rsidRPr="005127BB" w:rsidRDefault="00DF47F1" w:rsidP="000805E3">
            <w:pPr>
              <w:shd w:val="clear" w:color="auto" w:fill="FFFFFF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Авансовых платежей по транспортному налогу, налогу на имущество организаций и земельному налогу (в тех регионах, где </w:t>
            </w: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установлены авансовые платежи):</w:t>
            </w:r>
          </w:p>
          <w:p w:rsidR="00DF47F1" w:rsidRPr="005127BB" w:rsidRDefault="00DF47F1" w:rsidP="00293DAC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За 1 квартал 2020 года – до 30 октября 2020 года включительно;</w:t>
            </w:r>
          </w:p>
          <w:p w:rsidR="00DF47F1" w:rsidRPr="005127BB" w:rsidRDefault="00DF47F1" w:rsidP="00BF2A44">
            <w:pPr>
              <w:numPr>
                <w:ilvl w:val="0"/>
                <w:numId w:val="2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за 2 квартал 2020 года – до 30 декабря 2020 года включительно.</w:t>
            </w:r>
          </w:p>
        </w:tc>
        <w:tc>
          <w:tcPr>
            <w:tcW w:w="23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на 6 месяцев:</w:t>
            </w:r>
          </w:p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страховых взносов за март-май 2020 года;</w:t>
            </w:r>
          </w:p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4 месяца:</w:t>
            </w:r>
          </w:p>
          <w:p w:rsidR="00DF47F1" w:rsidRPr="005127BB" w:rsidRDefault="00DF47F1" w:rsidP="00EE6178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страховых взносов за июнь-июль 2020 года и по страховым взносам, исчисленным за 2019 год с суммы дохода более 300 тысяч рублей</w:t>
            </w:r>
          </w:p>
          <w:p w:rsidR="00DF47F1" w:rsidRPr="005127BB" w:rsidRDefault="00DF47F1" w:rsidP="00EA4BE6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887CA9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для </w:t>
            </w:r>
            <w:proofErr w:type="gramStart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работающих</w:t>
            </w:r>
            <w:proofErr w:type="gramEnd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в нерабочие по Указу Президента дни сроки остаются прежними, для неработающих </w:t>
            </w:r>
            <w:r w:rsidR="00F81EF8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- 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перенесены на 6 мая 2020 года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5127BB" w:rsidRPr="005127BB" w:rsidRDefault="005127BB" w:rsidP="00591718">
            <w:pPr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>Постановление Правительства ЗК от 09.04.2020 №94</w:t>
            </w:r>
          </w:p>
          <w:p w:rsidR="005127BB" w:rsidRPr="005127BB" w:rsidRDefault="005127BB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до 30 октября (включительно):</w:t>
            </w: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налогов (авансовых платежей) транспортного, на имущество организаций, земельного, УСН, ЕНВД за 1 квартал 2020 года</w:t>
            </w: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на 4 месяца:</w:t>
            </w: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  <w:p w:rsidR="00DF47F1" w:rsidRPr="005127BB" w:rsidRDefault="00DF47F1" w:rsidP="00591718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налог по патенту, </w:t>
            </w: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срок уплаты которого приходится на 2 квартал 2020 года</w:t>
            </w: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F47F1" w:rsidRPr="005127BB" w:rsidRDefault="00DF47F1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для </w:t>
            </w:r>
            <w:proofErr w:type="gramStart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работающих</w:t>
            </w:r>
            <w:proofErr w:type="gramEnd"/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в нерабочие по Указу Президента дни сроки</w:t>
            </w:r>
            <w:r w:rsidR="00947574"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, приходящиеся на март-апрель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остаются прежними, для неработающих</w:t>
            </w:r>
            <w:r w:rsidR="008A1362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F81EF8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-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="00947574"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перенесены</w:t>
            </w:r>
            <w:r w:rsid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5127BB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на 6 мая 2020 года</w:t>
            </w:r>
          </w:p>
        </w:tc>
      </w:tr>
      <w:tr w:rsidR="00BF2A44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5127BB" w:rsidRDefault="00BF2A44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Предоставление отсрочки (рассрочки)</w:t>
            </w:r>
          </w:p>
        </w:tc>
        <w:tc>
          <w:tcPr>
            <w:tcW w:w="893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D143AC" w:rsidRDefault="00BF2A44" w:rsidP="00887CA9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К заинтересованным лицам могут быть также отнесены стратегические, системообразующие, градообразующие орга</w:t>
            </w:r>
            <w:r w:rsidR="005127BB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низации не из перечня пострадавши</w:t>
            </w: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х ОКВЭД. </w:t>
            </w:r>
          </w:p>
          <w:p w:rsidR="00BF2A44" w:rsidRPr="00D143AC" w:rsidRDefault="00BF2A44" w:rsidP="00BF2A44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Представляются в отношении налогов (авансовых платежей), страховых взносов, срок уплаты которых наступил в 2020 году (</w:t>
            </w:r>
            <w:r w:rsidR="00735B7C" w:rsidRPr="00D143AC">
              <w:rPr>
                <w:rFonts w:ascii="Arial Narrow" w:eastAsia="Times New Roman" w:hAnsi="Arial Narrow"/>
                <w:color w:val="365F91" w:themeColor="accent1" w:themeShade="BF"/>
                <w:sz w:val="24"/>
                <w:szCs w:val="24"/>
              </w:rPr>
              <w:t>кроме акцизов, НДПИ и</w:t>
            </w:r>
            <w:r w:rsidR="00735B7C"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 xml:space="preserve"> налогов, уплачиваемых налоговыми агентами</w:t>
            </w: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) при наличии</w:t>
            </w:r>
            <w:r w:rsidR="00916903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одного из утвержденных показателей</w:t>
            </w:r>
            <w:r w:rsidR="00D143AC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снижение доходов более чем на 10 процентов;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снижение доходов от реализации товаров (работ, услуг) более чем на 10 процентов;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снижение доходов от реализации товаров (работ, услуг) по операциям, облагаемым налогом на добавленную стоимость по ставке 0 процентов, более чем на 10 процентов;</w:t>
            </w:r>
          </w:p>
          <w:p w:rsid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D143AC"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  <w:t>получение убытка по данным налоговых деклараций по налогу на прибыль организаций за отчетные периоды 2020 года при условии, что за 2019 год убыток отсутствовал.</w:t>
            </w:r>
          </w:p>
          <w:p w:rsidR="00D143AC" w:rsidRPr="00D143AC" w:rsidRDefault="00D143AC" w:rsidP="00D143AC">
            <w:pPr>
              <w:pStyle w:val="ConsPlusNormal"/>
              <w:ind w:left="324"/>
              <w:jc w:val="both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</w:p>
          <w:p w:rsidR="00916903" w:rsidRPr="00D143AC" w:rsidRDefault="00916903" w:rsidP="00BF2A44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Заявление должно быть подано до 1</w:t>
            </w:r>
            <w:r w:rsidR="005127BB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декабря 2020 года</w:t>
            </w:r>
            <w:r w:rsidR="005127BB" w:rsidRPr="00D143AC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.</w:t>
            </w:r>
          </w:p>
          <w:p w:rsidR="00916903" w:rsidRPr="005127BB" w:rsidRDefault="00916903" w:rsidP="00BF2A44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В зависимости от категории налогоплательщика, доли снижения доходов, наличия убытков предусмотрено представление отсрочки на</w:t>
            </w:r>
            <w:r w:rsid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5127BB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1 год, 9, 6, 3 месяца, рассрочки на 3 года и 5 лет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5127BB" w:rsidRDefault="00BF2A44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BF2A44" w:rsidRPr="005127BB" w:rsidRDefault="00BF2A44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446D01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Принятие решений о банкротстве</w:t>
            </w:r>
          </w:p>
        </w:tc>
        <w:tc>
          <w:tcPr>
            <w:tcW w:w="893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 w:rsidP="00E32F72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 </w:t>
            </w:r>
            <w:r w:rsid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с </w:t>
            </w:r>
            <w:r w:rsidRPr="005127BB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3 апреля до 3 октября 2020 года введен мораторий на возбуждение дел о банкротстве. </w:t>
            </w:r>
          </w:p>
        </w:tc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446D01" w:rsidRPr="005127BB" w:rsidRDefault="00446D01" w:rsidP="008B3C05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</w:p>
        </w:tc>
      </w:tr>
      <w:tr w:rsidR="00C4465F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4465F" w:rsidRPr="005127BB" w:rsidRDefault="00C4465F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Ставки страховых взносов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4465F" w:rsidRDefault="00C4465F" w:rsidP="00C4465F">
            <w:pPr>
              <w:numPr>
                <w:ilvl w:val="0"/>
                <w:numId w:val="3"/>
              </w:numPr>
              <w:shd w:val="clear" w:color="auto" w:fill="FFFFFF"/>
              <w:spacing w:after="150"/>
              <w:ind w:left="0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с 01 апреля по 31 декабря 2020 года:</w:t>
            </w:r>
          </w:p>
          <w:p w:rsidR="00C4465F" w:rsidRPr="005127BB" w:rsidRDefault="00C4465F" w:rsidP="00FA6D73">
            <w:pPr>
              <w:ind w:left="324"/>
              <w:jc w:val="both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для субъектов малого и среднего предпринимательства в отношении части выплат в пользу физических лиц, определяемой по итогам каждого календарного месяца, как превышение над величиной МРОТ, устанавливается пониженная ставка </w:t>
            </w:r>
            <w:r w:rsidR="009E6ECF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страх</w:t>
            </w:r>
            <w:r w:rsidR="00FA6D73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овых взносов </w:t>
            </w:r>
            <w:r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  <w:shd w:val="clear" w:color="auto" w:fill="FFFFFF"/>
              </w:rPr>
              <w:t>15%.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Default="00187A68" w:rsidP="006F1AD0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Продление сроков представления </w:t>
            </w:r>
            <w:r w:rsidR="006F1AD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налоговой (бухгалтерской) отчетности, отчетности по страховым взносам</w:t>
            </w:r>
          </w:p>
          <w:p w:rsidR="006F1AD0" w:rsidRPr="005127BB" w:rsidRDefault="006F1AD0" w:rsidP="006F1AD0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E32F72" w:rsidRDefault="00187A68" w:rsidP="00AF4922">
            <w:pPr>
              <w:shd w:val="clear" w:color="auto" w:fill="FFFFFF"/>
              <w:spacing w:after="150"/>
              <w:ind w:left="2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 3 месяца:</w:t>
            </w:r>
          </w:p>
          <w:p w:rsidR="00C1348B" w:rsidRPr="00E32F72" w:rsidRDefault="005127BB" w:rsidP="00C1348B">
            <w:pPr>
              <w:pStyle w:val="a6"/>
              <w:shd w:val="clear" w:color="auto" w:fill="FFFFFF"/>
              <w:spacing w:before="0" w:beforeAutospacing="0" w:after="0" w:afterAutospacing="0"/>
              <w:ind w:left="324"/>
              <w:rPr>
                <w:rFonts w:ascii="Arial Narrow" w:hAnsi="Arial Narrow" w:cs="Arial"/>
                <w:color w:val="365F91" w:themeColor="accent1" w:themeShade="BF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</w:rPr>
              <w:t xml:space="preserve">отчетность, которая должна быть сдана </w:t>
            </w:r>
            <w:r w:rsidR="00C1348B" w:rsidRPr="00E32F72">
              <w:rPr>
                <w:rFonts w:ascii="Arial Narrow" w:hAnsi="Arial Narrow" w:cs="Arial"/>
                <w:color w:val="365F91" w:themeColor="accent1" w:themeShade="BF"/>
              </w:rPr>
              <w:t>в марте-мае</w:t>
            </w:r>
            <w:r w:rsidRPr="00E32F72">
              <w:rPr>
                <w:rFonts w:ascii="Arial Narrow" w:hAnsi="Arial Narrow" w:cs="Arial"/>
                <w:color w:val="365F91" w:themeColor="accent1" w:themeShade="BF"/>
              </w:rPr>
              <w:t xml:space="preserve"> 2020 года</w:t>
            </w:r>
            <w:r w:rsidR="00C1348B" w:rsidRPr="00E32F72">
              <w:rPr>
                <w:rFonts w:ascii="Arial Narrow" w:hAnsi="Arial Narrow" w:cs="Arial"/>
                <w:color w:val="365F91" w:themeColor="accent1" w:themeShade="BF"/>
              </w:rPr>
              <w:t>: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все налоговые декларации и расчеты по авансовым платежам (кроме НДС и расчетов по страховым взносам),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расчеты сумм НДФЛ (форма 6-НДФЛ),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налоговые расчеты о суммах выплаченных иностранным организациям доходов и удержанных налогов,</w:t>
            </w:r>
          </w:p>
          <w:p w:rsidR="00C1348B" w:rsidRPr="00E32F72" w:rsidRDefault="00C1348B" w:rsidP="00C1348B">
            <w:pPr>
              <w:shd w:val="clear" w:color="auto" w:fill="FFFFFF"/>
              <w:ind w:left="891"/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</w:pP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бухгал</w:t>
            </w:r>
            <w:r w:rsidR="003F59C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 xml:space="preserve">терская (финансовая) отчетность, представляемая не для целей формирования ГИР БО </w:t>
            </w:r>
            <w:r w:rsidRPr="00E32F72">
              <w:rPr>
                <w:rFonts w:ascii="Arial Narrow" w:hAnsi="Arial Narrow" w:cs="Arial"/>
                <w:color w:val="365F91" w:themeColor="accent1" w:themeShade="BF"/>
                <w:sz w:val="24"/>
                <w:szCs w:val="24"/>
              </w:rPr>
              <w:t>(для налогоплательщиков, сдающих годовую бухгалтерскую (финансовую) отчётность в соответствии с пп.5.1 п.1 ст.23 НК РФ).</w:t>
            </w:r>
          </w:p>
          <w:p w:rsidR="00C1348B" w:rsidRPr="00E32F72" w:rsidRDefault="00C1348B" w:rsidP="00C1348B">
            <w:pPr>
              <w:pStyle w:val="a6"/>
              <w:shd w:val="clear" w:color="auto" w:fill="FFFFFF"/>
              <w:spacing w:before="0" w:beforeAutospacing="0" w:after="0" w:afterAutospacing="0"/>
              <w:ind w:left="324"/>
              <w:rPr>
                <w:rFonts w:ascii="Arial Narrow" w:hAnsi="Arial Narrow"/>
                <w:color w:val="365F91" w:themeColor="accent1" w:themeShade="BF"/>
              </w:rPr>
            </w:pPr>
          </w:p>
          <w:p w:rsidR="00187A68" w:rsidRPr="00E32F72" w:rsidRDefault="00C1348B" w:rsidP="00C1348B">
            <w:pPr>
              <w:pStyle w:val="a6"/>
              <w:shd w:val="clear" w:color="auto" w:fill="FFFFFF"/>
              <w:spacing w:before="0" w:beforeAutospacing="0" w:after="0" w:afterAutospacing="0"/>
              <w:ind w:left="324"/>
              <w:rPr>
                <w:rFonts w:ascii="Arial Narrow" w:hAnsi="Arial Narrow"/>
                <w:color w:val="365F91" w:themeColor="accent1" w:themeShade="BF"/>
              </w:rPr>
            </w:pPr>
            <w:r w:rsidRPr="00E32F72">
              <w:rPr>
                <w:rFonts w:ascii="Arial Narrow" w:hAnsi="Arial Narrow"/>
                <w:color w:val="365F91" w:themeColor="accent1" w:themeShade="BF"/>
              </w:rPr>
              <w:t>финансовая</w:t>
            </w:r>
            <w:r w:rsidR="00187A68" w:rsidRPr="00E32F72">
              <w:rPr>
                <w:rFonts w:ascii="Arial Narrow" w:hAnsi="Arial Narrow"/>
                <w:color w:val="365F91" w:themeColor="accent1" w:themeShade="BF"/>
              </w:rPr>
              <w:t xml:space="preserve"> информаци</w:t>
            </w:r>
            <w:r w:rsidRPr="00E32F72">
              <w:rPr>
                <w:rFonts w:ascii="Arial Narrow" w:hAnsi="Arial Narrow"/>
                <w:color w:val="365F91" w:themeColor="accent1" w:themeShade="BF"/>
              </w:rPr>
              <w:t>я</w:t>
            </w:r>
            <w:r w:rsidR="00187A68" w:rsidRPr="00E32F72">
              <w:rPr>
                <w:rFonts w:ascii="Arial Narrow" w:hAnsi="Arial Narrow"/>
                <w:color w:val="365F91" w:themeColor="accent1" w:themeShade="BF"/>
              </w:rPr>
              <w:t xml:space="preserve"> о клиентах – иностранных налоговых резидентах за 2019 год и предыдущие отчетные годы организациями финансового рынка;</w:t>
            </w:r>
          </w:p>
          <w:p w:rsidR="00187A68" w:rsidRPr="00E32F72" w:rsidRDefault="00187A68" w:rsidP="00AF4922">
            <w:pPr>
              <w:shd w:val="clear" w:color="auto" w:fill="FFFFFF"/>
              <w:spacing w:after="150"/>
              <w:ind w:left="304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заявлений о проведении налогового мониторинга за 2021 год.</w:t>
            </w:r>
          </w:p>
          <w:p w:rsidR="00187A68" w:rsidRPr="00E32F72" w:rsidRDefault="006414FF" w:rsidP="008E3B7D">
            <w:pPr>
              <w:numPr>
                <w:ilvl w:val="0"/>
                <w:numId w:val="4"/>
              </w:numPr>
              <w:shd w:val="clear" w:color="auto" w:fill="FFFFFF"/>
              <w:spacing w:after="150"/>
              <w:ind w:left="0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до 15 мая 2020 года</w:t>
            </w:r>
            <w:r w:rsidR="00187A68"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  <w:p w:rsidR="00187A68" w:rsidRPr="00AB5682" w:rsidRDefault="00187A68" w:rsidP="00AB5682">
            <w:pPr>
              <w:shd w:val="clear" w:color="auto" w:fill="FFFFFF"/>
              <w:spacing w:after="150"/>
              <w:ind w:left="324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E32F72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налоговых деклараций по НДС и расчетов по страховым взносам за первый квартал 2020 года.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Представление ответов на требования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shd w:val="clear" w:color="auto" w:fill="FFFFFF"/>
              <w:spacing w:after="300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при получении требований о представлении документов, пояснений с 1 марта по 31 мая 2020 года срок их представления для налогоплательщиков также продлевается: </w:t>
            </w:r>
          </w:p>
          <w:p w:rsidR="00187A68" w:rsidRPr="005127BB" w:rsidRDefault="00187A68" w:rsidP="00E32F72">
            <w:pPr>
              <w:shd w:val="clear" w:color="auto" w:fill="FFFFFF"/>
              <w:spacing w:after="150"/>
              <w:ind w:left="365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на 10 рабочих дней – по требованиям по НДС;</w:t>
            </w:r>
          </w:p>
          <w:p w:rsidR="00187A68" w:rsidRPr="005127BB" w:rsidRDefault="00187A68" w:rsidP="00E32F72">
            <w:pPr>
              <w:shd w:val="clear" w:color="auto" w:fill="FFFFFF"/>
              <w:spacing w:after="150"/>
              <w:ind w:left="365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на 20 рабочих дней – в остальных случаях.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Проведение выездных проверок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7948BA" w:rsidRPr="007948BA" w:rsidRDefault="007948BA" w:rsidP="007948BA">
            <w:pPr>
              <w:shd w:val="clear" w:color="auto" w:fill="FFFFFF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до 31 мая включительно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: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не выносятся</w:t>
            </w: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 решени</w:t>
            </w:r>
            <w:r w:rsidRPr="005127BB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я</w:t>
            </w: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 о проведении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выездных и повторных выездных налоговых проверок;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приостановлены уже назначенные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выездные и повторные выездные налоговые проверки;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приостанавливается проверка расчета и уплаты налогов по сделкам между взаимозависимыми лицами;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не проводятся или приостанавливаются </w:t>
            </w: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проверки соблюдения валютного законодательства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- кроме случаев, когда нарушения уже выявлены и если срок давности для привлечения к административной ответственности — до 01.06.2020.</w:t>
            </w:r>
          </w:p>
          <w:p w:rsidR="007948BA" w:rsidRPr="007948BA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bCs/>
                <w:color w:val="365F91" w:themeColor="accent1" w:themeShade="BF"/>
                <w:sz w:val="24"/>
                <w:szCs w:val="24"/>
                <w:lang w:eastAsia="ru-RU"/>
              </w:rPr>
              <w:t>не составляются акты и решения</w:t>
            </w: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 налоговых органов в рамках выездных (повторных выездных) налоговых проверок;</w:t>
            </w:r>
          </w:p>
          <w:p w:rsidR="00187A68" w:rsidRPr="00A077C1" w:rsidRDefault="007948BA" w:rsidP="00E32F72">
            <w:pPr>
              <w:shd w:val="clear" w:color="auto" w:fill="FFFFFF"/>
              <w:ind w:left="323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7948BA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приостанавливается срок рассмотрения возражений на акты налоговых проверок.</w:t>
            </w:r>
          </w:p>
          <w:p w:rsidR="006414FF" w:rsidRDefault="006414FF" w:rsidP="00A077C1">
            <w:pPr>
              <w:shd w:val="clear" w:color="auto" w:fill="FFFFFF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</w:p>
          <w:p w:rsidR="00A077C1" w:rsidRPr="00A077C1" w:rsidRDefault="00A077C1" w:rsidP="00A077C1">
            <w:pPr>
              <w:shd w:val="clear" w:color="auto" w:fill="FFFFFF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до 1 июня включительно:</w:t>
            </w:r>
          </w:p>
          <w:p w:rsidR="00A077C1" w:rsidRPr="009D5F26" w:rsidRDefault="006414FF" w:rsidP="009D5F26">
            <w:pPr>
              <w:autoSpaceDE w:val="0"/>
              <w:autoSpaceDN w:val="0"/>
              <w:adjustRightInd w:val="0"/>
              <w:ind w:left="324"/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</w:pP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исключено проведение вне рамок выездных налоговых проверок мероприятий налогового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 xml:space="preserve"> контроля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, связанных с непосредственным ко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нтактом с налогоплательщиками (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их сотрудниками, представителями)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,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 xml:space="preserve"> в том числе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 xml:space="preserve"> </w:t>
            </w:r>
            <w:r w:rsidRPr="006414FF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осуществление допросов, осмотров, вызовов в налоговый орган)</w:t>
            </w:r>
            <w:r w:rsidR="009D5F26">
              <w:rPr>
                <w:rFonts w:ascii="Arial Narrow" w:hAnsi="Arial Narrow" w:cs="Helv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187A68" w:rsidRPr="009B4E49" w:rsidTr="00AB5682">
        <w:tc>
          <w:tcPr>
            <w:tcW w:w="226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187A68" w:rsidP="000B45D1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5127BB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Вынесение решений о приостановлении операций по счетам</w:t>
            </w:r>
            <w:r w:rsidR="00E32F72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за непредставление отчетности</w:t>
            </w:r>
          </w:p>
        </w:tc>
        <w:tc>
          <w:tcPr>
            <w:tcW w:w="12977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7A68" w:rsidRPr="005127BB" w:rsidRDefault="00A22E2A" w:rsidP="00A366DF">
            <w:pPr>
              <w:shd w:val="clear" w:color="auto" w:fill="FFFFFF"/>
              <w:spacing w:after="300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до 0</w:t>
            </w:r>
            <w:r w:rsidR="00187A68"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 xml:space="preserve"> июня</w:t>
            </w:r>
            <w:r w:rsidR="00187A68"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 xml:space="preserve"> 2020 года включительно приостановлено:</w:t>
            </w:r>
          </w:p>
          <w:p w:rsidR="00187A68" w:rsidRPr="005127BB" w:rsidRDefault="00187A68" w:rsidP="00E32F72">
            <w:pPr>
              <w:shd w:val="clear" w:color="auto" w:fill="FFFFFF"/>
              <w:spacing w:after="300"/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>вынесение решений в соответствии с пунктами 3 и 3</w:t>
            </w: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vertAlign w:val="superscript"/>
                <w:lang w:eastAsia="ru-RU"/>
              </w:rPr>
              <w:t>2</w:t>
            </w:r>
            <w:r w:rsidRPr="005127BB">
              <w:rPr>
                <w:rFonts w:ascii="Arial Narrow" w:eastAsia="Times New Roman" w:hAnsi="Arial Narrow" w:cs="Arial"/>
                <w:color w:val="365F91" w:themeColor="accent1" w:themeShade="BF"/>
                <w:sz w:val="24"/>
                <w:szCs w:val="24"/>
                <w:lang w:eastAsia="ru-RU"/>
              </w:rPr>
              <w:t xml:space="preserve"> статьи 76 НК РФ </w:t>
            </w:r>
          </w:p>
        </w:tc>
      </w:tr>
      <w:tr w:rsidR="00184951" w:rsidRPr="009B4E49" w:rsidTr="00A01BF7">
        <w:trPr>
          <w:trHeight w:val="778"/>
        </w:trPr>
        <w:tc>
          <w:tcPr>
            <w:tcW w:w="15245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4951" w:rsidRPr="00184951" w:rsidRDefault="00184951" w:rsidP="00184951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184951"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  <w:t>Документы основания:</w:t>
            </w:r>
          </w:p>
          <w:p w:rsidR="00A57188" w:rsidRPr="00AB5682" w:rsidRDefault="00A57188" w:rsidP="00184951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AB5682">
              <w:rPr>
                <w:rFonts w:ascii="Arial Narrow" w:hAnsi="Arial Narrow" w:cs="Trebuchet MS"/>
                <w:i/>
                <w:color w:val="365F91" w:themeColor="accent1" w:themeShade="BF"/>
                <w:sz w:val="20"/>
                <w:szCs w:val="20"/>
              </w:rPr>
              <w:t xml:space="preserve">Указ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AB5682">
              <w:rPr>
                <w:rFonts w:ascii="Arial Narrow" w:hAnsi="Arial Narrow" w:cs="Trebuchet MS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Pr="00AB5682">
              <w:rPr>
                <w:rFonts w:ascii="Arial Narrow" w:hAnsi="Arial Narrow" w:cs="Trebuchet MS"/>
                <w:i/>
                <w:color w:val="365F91" w:themeColor="accent1" w:themeShade="BF"/>
                <w:sz w:val="20"/>
                <w:szCs w:val="20"/>
              </w:rPr>
              <w:t xml:space="preserve"> инфекции (COVID-19)»</w:t>
            </w:r>
          </w:p>
          <w:p w:rsidR="00184951" w:rsidRPr="00AB5682" w:rsidRDefault="00184951" w:rsidP="00184951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</w:pPr>
            <w:r w:rsidRPr="00AB5682"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  <w:t>Постановление Правительства РФ от 02.04.2020 № 409 «О мерах по обеспечению устойчивого развития экономики»</w:t>
            </w:r>
          </w:p>
          <w:p w:rsidR="00184951" w:rsidRPr="00AB5682" w:rsidRDefault="00184951" w:rsidP="00184951">
            <w:pPr>
              <w:shd w:val="clear" w:color="auto" w:fill="FFFFFF"/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</w:pPr>
            <w:r w:rsidRPr="00AB5682"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  <w:t xml:space="preserve">Постановление Правительства РФ от </w:t>
            </w:r>
            <w:r w:rsidRPr="00AB5682"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  <w:t xml:space="preserve">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AB5682"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Pr="00AB5682">
              <w:rPr>
                <w:rFonts w:ascii="Arial Narrow" w:hAnsi="Arial Narrow"/>
                <w:i/>
                <w:color w:val="365F91" w:themeColor="accent1" w:themeShade="BF"/>
                <w:sz w:val="20"/>
                <w:szCs w:val="20"/>
              </w:rPr>
              <w:t xml:space="preserve"> инфекции»</w:t>
            </w:r>
          </w:p>
          <w:p w:rsidR="00184951" w:rsidRPr="00AB5682" w:rsidRDefault="00184951" w:rsidP="00184951">
            <w:pPr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</w:pPr>
            <w:r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>Постановление Правительства Забайкальского края от 09.04.2020 №94</w:t>
            </w:r>
            <w:r w:rsidR="00730A9A"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 xml:space="preserve"> «О продлении сроков уплаты налогов для субъектов малого и среднего предпринимательства в период распространения новой </w:t>
            </w:r>
            <w:proofErr w:type="spellStart"/>
            <w:r w:rsidR="00730A9A"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="00730A9A" w:rsidRPr="00AB5682"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  <w:t xml:space="preserve"> инфекции»</w:t>
            </w:r>
          </w:p>
          <w:p w:rsidR="00735B7C" w:rsidRPr="00AB5682" w:rsidRDefault="00735B7C" w:rsidP="00184951">
            <w:pPr>
              <w:rPr>
                <w:rFonts w:ascii="Arial Narrow" w:hAnsi="Arial Narrow" w:cs="Times New Roman"/>
                <w:i/>
                <w:color w:val="365F91" w:themeColor="accent1" w:themeShade="BF"/>
                <w:sz w:val="20"/>
                <w:szCs w:val="20"/>
              </w:rPr>
            </w:pPr>
            <w:r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Приказ  ФНС России от 20.03.2020 № ЕД-7-2/181@ «</w:t>
            </w:r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 xml:space="preserve">О принятии в рамках осуществления  контроля и </w:t>
            </w:r>
            <w:proofErr w:type="gramStart"/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надзора</w:t>
            </w:r>
            <w:proofErr w:type="gramEnd"/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 xml:space="preserve"> неотложных мер  в целях предупреждения  возникновения и распространения </w:t>
            </w:r>
            <w:proofErr w:type="spellStart"/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коронавирусной</w:t>
            </w:r>
            <w:proofErr w:type="spellEnd"/>
            <w:r w:rsidR="00C16A3D"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 xml:space="preserve"> инфекции</w:t>
            </w:r>
            <w:r w:rsidRPr="00AB5682">
              <w:rPr>
                <w:rFonts w:ascii="Arial Narrow" w:hAnsi="Arial Narrow" w:cs="Helv"/>
                <w:i/>
                <w:color w:val="365F91" w:themeColor="accent1" w:themeShade="BF"/>
                <w:sz w:val="20"/>
                <w:szCs w:val="20"/>
              </w:rPr>
              <w:t>»</w:t>
            </w:r>
          </w:p>
          <w:p w:rsidR="00A57188" w:rsidRPr="00A57188" w:rsidRDefault="0090462B" w:rsidP="00184951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B5682">
              <w:rPr>
                <w:rFonts w:ascii="Arial Narrow" w:eastAsia="Times New Roman" w:hAnsi="Arial Narrow" w:cs="Arial"/>
                <w:i/>
                <w:color w:val="365F91" w:themeColor="accent1" w:themeShade="BF"/>
                <w:sz w:val="20"/>
                <w:szCs w:val="20"/>
                <w:lang w:eastAsia="ru-RU"/>
              </w:rPr>
              <w:t>Федеральный закон от 01.04.2020 № 102-ФЗ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</w:tr>
    </w:tbl>
    <w:p w:rsidR="00D2105C" w:rsidRDefault="00D2105C"/>
    <w:sectPr w:rsidR="00D2105C" w:rsidSect="00AB5682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92"/>
    <w:multiLevelType w:val="multilevel"/>
    <w:tmpl w:val="528C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1D14"/>
    <w:multiLevelType w:val="multilevel"/>
    <w:tmpl w:val="991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607D"/>
    <w:multiLevelType w:val="multilevel"/>
    <w:tmpl w:val="C41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48F3"/>
    <w:multiLevelType w:val="multilevel"/>
    <w:tmpl w:val="8CC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1136D"/>
    <w:multiLevelType w:val="multilevel"/>
    <w:tmpl w:val="D37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0469A"/>
    <w:multiLevelType w:val="multilevel"/>
    <w:tmpl w:val="8C44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A3C47"/>
    <w:multiLevelType w:val="multilevel"/>
    <w:tmpl w:val="715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1B92"/>
    <w:multiLevelType w:val="multilevel"/>
    <w:tmpl w:val="E3B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E37A0"/>
    <w:multiLevelType w:val="multilevel"/>
    <w:tmpl w:val="665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DF"/>
    <w:rsid w:val="0005450C"/>
    <w:rsid w:val="000805E3"/>
    <w:rsid w:val="00081B74"/>
    <w:rsid w:val="000B45D1"/>
    <w:rsid w:val="000C5672"/>
    <w:rsid w:val="00114D96"/>
    <w:rsid w:val="001316C4"/>
    <w:rsid w:val="00184951"/>
    <w:rsid w:val="00187A68"/>
    <w:rsid w:val="001A0366"/>
    <w:rsid w:val="001A5E67"/>
    <w:rsid w:val="001F0370"/>
    <w:rsid w:val="001F569C"/>
    <w:rsid w:val="00223ACE"/>
    <w:rsid w:val="00232891"/>
    <w:rsid w:val="00245D82"/>
    <w:rsid w:val="00253B0D"/>
    <w:rsid w:val="00293DAC"/>
    <w:rsid w:val="002F74DF"/>
    <w:rsid w:val="003121E3"/>
    <w:rsid w:val="00383A10"/>
    <w:rsid w:val="003C4BCA"/>
    <w:rsid w:val="003F59C2"/>
    <w:rsid w:val="0042752A"/>
    <w:rsid w:val="00430AD0"/>
    <w:rsid w:val="00446D01"/>
    <w:rsid w:val="004515ED"/>
    <w:rsid w:val="005127BB"/>
    <w:rsid w:val="005514CE"/>
    <w:rsid w:val="005F591A"/>
    <w:rsid w:val="006414FF"/>
    <w:rsid w:val="00663478"/>
    <w:rsid w:val="006F1AD0"/>
    <w:rsid w:val="00730A9A"/>
    <w:rsid w:val="00735B7C"/>
    <w:rsid w:val="00793407"/>
    <w:rsid w:val="007948BA"/>
    <w:rsid w:val="007B01E9"/>
    <w:rsid w:val="008A1362"/>
    <w:rsid w:val="008B3C05"/>
    <w:rsid w:val="008C2555"/>
    <w:rsid w:val="008E3B7D"/>
    <w:rsid w:val="0090462B"/>
    <w:rsid w:val="00916903"/>
    <w:rsid w:val="00947574"/>
    <w:rsid w:val="009B4E49"/>
    <w:rsid w:val="009D5F26"/>
    <w:rsid w:val="009D6AD6"/>
    <w:rsid w:val="009E6ECF"/>
    <w:rsid w:val="00A077C1"/>
    <w:rsid w:val="00A22E2A"/>
    <w:rsid w:val="00A366DF"/>
    <w:rsid w:val="00A52A81"/>
    <w:rsid w:val="00A57188"/>
    <w:rsid w:val="00AB5682"/>
    <w:rsid w:val="00AF4922"/>
    <w:rsid w:val="00BC39F0"/>
    <w:rsid w:val="00BF2A44"/>
    <w:rsid w:val="00C1348B"/>
    <w:rsid w:val="00C16A3D"/>
    <w:rsid w:val="00C260F3"/>
    <w:rsid w:val="00C4465F"/>
    <w:rsid w:val="00C57966"/>
    <w:rsid w:val="00D143AC"/>
    <w:rsid w:val="00D2105C"/>
    <w:rsid w:val="00DF47F1"/>
    <w:rsid w:val="00E32F72"/>
    <w:rsid w:val="00E54429"/>
    <w:rsid w:val="00E620D6"/>
    <w:rsid w:val="00EA4BE6"/>
    <w:rsid w:val="00EB0606"/>
    <w:rsid w:val="00EC654F"/>
    <w:rsid w:val="00F81EF8"/>
    <w:rsid w:val="00FA6D73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3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9B42-B917-4995-809D-4BFC7361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Грищукова Ольга Александровна</dc:creator>
  <cp:lastModifiedBy>Грищукова Ольга Александровна</cp:lastModifiedBy>
  <cp:revision>2</cp:revision>
  <cp:lastPrinted>2020-04-16T04:46:00Z</cp:lastPrinted>
  <dcterms:created xsi:type="dcterms:W3CDTF">2020-04-16T04:55:00Z</dcterms:created>
  <dcterms:modified xsi:type="dcterms:W3CDTF">2020-04-16T04:55:00Z</dcterms:modified>
</cp:coreProperties>
</file>